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17AE" w14:textId="77777777" w:rsidR="004D5F66" w:rsidRDefault="004D5F66" w:rsidP="004D5F66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B7D6554" w14:textId="77777777" w:rsidR="001652AA" w:rsidRDefault="001652AA" w:rsidP="001652A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Fear Reading: </w:t>
      </w:r>
    </w:p>
    <w:p w14:paraId="74A52A7E" w14:textId="77777777" w:rsidR="001652AA" w:rsidRDefault="001652AA" w:rsidP="001652A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Meta-Analysis on the Association between Reading </w:t>
      </w:r>
    </w:p>
    <w:p w14:paraId="7F5C21F3" w14:textId="77777777" w:rsidR="001652AA" w:rsidRDefault="001652AA" w:rsidP="001652A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Anxiety and Reading Achievement across World Populations</w:t>
      </w:r>
    </w:p>
    <w:p w14:paraId="0C8F62FD" w14:textId="77777777" w:rsidR="001652AA" w:rsidRPr="00897949" w:rsidRDefault="001652AA" w:rsidP="001652AA">
      <w:pPr>
        <w:pStyle w:val="NoSpacing"/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7949">
        <w:rPr>
          <w:rFonts w:ascii="Times New Roman" w:hAnsi="Times New Roman" w:cs="Times New Roman"/>
          <w:color w:val="000000" w:themeColor="text1"/>
        </w:rPr>
        <w:t>Rachelle M. Johnson</w:t>
      </w:r>
      <w:r w:rsidRPr="00897949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897949">
        <w:rPr>
          <w:rFonts w:ascii="Times New Roman" w:hAnsi="Times New Roman" w:cs="Times New Roman"/>
          <w:color w:val="000000" w:themeColor="text1"/>
        </w:rPr>
        <w:t>, Maxine Schaefer</w:t>
      </w:r>
      <w:r w:rsidRPr="00897949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897949">
        <w:rPr>
          <w:rFonts w:ascii="Times New Roman" w:hAnsi="Times New Roman" w:cs="Times New Roman"/>
          <w:color w:val="000000" w:themeColor="text1"/>
        </w:rPr>
        <w:t>, Cynthia U. Norris</w:t>
      </w:r>
      <w:r w:rsidRPr="00897949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897949">
        <w:rPr>
          <w:rFonts w:ascii="Times New Roman" w:hAnsi="Times New Roman" w:cs="Times New Roman"/>
          <w:color w:val="000000" w:themeColor="text1"/>
        </w:rPr>
        <w:t xml:space="preserve">, </w:t>
      </w:r>
    </w:p>
    <w:p w14:paraId="73D53330" w14:textId="77777777" w:rsidR="001652AA" w:rsidRPr="00897949" w:rsidRDefault="001652AA" w:rsidP="001652AA">
      <w:pPr>
        <w:pStyle w:val="NoSpacing"/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7949">
        <w:rPr>
          <w:rFonts w:ascii="Times New Roman" w:hAnsi="Times New Roman" w:cs="Times New Roman"/>
          <w:color w:val="000000" w:themeColor="text1"/>
        </w:rPr>
        <w:t>Richard Wagner</w:t>
      </w:r>
      <w:r w:rsidRPr="00897949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897949">
        <w:rPr>
          <w:rFonts w:ascii="Times New Roman" w:hAnsi="Times New Roman" w:cs="Times New Roman"/>
          <w:color w:val="000000" w:themeColor="text1"/>
        </w:rPr>
        <w:t>, and Sara A. Hart</w:t>
      </w:r>
      <w:r>
        <w:rPr>
          <w:rFonts w:ascii="Times New Roman" w:hAnsi="Times New Roman" w:cs="Times New Roman"/>
          <w:color w:val="000000" w:themeColor="text1"/>
          <w:vertAlign w:val="superscript"/>
        </w:rPr>
        <w:t>4</w:t>
      </w:r>
    </w:p>
    <w:p w14:paraId="6ED3783A" w14:textId="77777777" w:rsidR="004D5F66" w:rsidRDefault="004D5F66" w:rsidP="004D5F66">
      <w:pPr>
        <w:jc w:val="center"/>
        <w:rPr>
          <w:rFonts w:ascii="Times New Roman" w:hAnsi="Times New Roman" w:cs="Times New Roman"/>
          <w:b/>
          <w:bCs/>
        </w:rPr>
      </w:pPr>
    </w:p>
    <w:p w14:paraId="36022AF8" w14:textId="77777777" w:rsidR="004D5F66" w:rsidRDefault="004D5F66" w:rsidP="004D5F66">
      <w:pPr>
        <w:jc w:val="center"/>
        <w:rPr>
          <w:rFonts w:ascii="Times New Roman" w:hAnsi="Times New Roman" w:cs="Times New Roman"/>
          <w:b/>
          <w:bCs/>
        </w:rPr>
      </w:pPr>
    </w:p>
    <w:p w14:paraId="3B77E20E" w14:textId="77777777" w:rsidR="004D5F66" w:rsidRDefault="004D5F66" w:rsidP="004D5F66">
      <w:pPr>
        <w:jc w:val="center"/>
        <w:rPr>
          <w:rFonts w:ascii="Times New Roman" w:hAnsi="Times New Roman" w:cs="Times New Roman"/>
          <w:b/>
          <w:bCs/>
        </w:rPr>
      </w:pPr>
    </w:p>
    <w:p w14:paraId="76908845" w14:textId="77777777" w:rsidR="004D5F66" w:rsidRDefault="004D5F66" w:rsidP="004D5F66">
      <w:pPr>
        <w:jc w:val="center"/>
        <w:rPr>
          <w:rFonts w:ascii="Times New Roman" w:hAnsi="Times New Roman" w:cs="Times New Roman"/>
          <w:b/>
          <w:bCs/>
        </w:rPr>
      </w:pPr>
    </w:p>
    <w:p w14:paraId="2B872C6A" w14:textId="48C81EB1" w:rsidR="004D5F66" w:rsidRDefault="004D5F66" w:rsidP="004D5F66">
      <w:pPr>
        <w:jc w:val="center"/>
        <w:rPr>
          <w:rFonts w:ascii="Times New Roman" w:hAnsi="Times New Roman" w:cs="Times New Roman"/>
          <w:b/>
          <w:bCs/>
        </w:rPr>
      </w:pPr>
      <w:r w:rsidRPr="00897949">
        <w:rPr>
          <w:rFonts w:ascii="Times New Roman" w:hAnsi="Times New Roman" w:cs="Times New Roman"/>
          <w:b/>
          <w:bCs/>
        </w:rPr>
        <w:t>Supplemental Analyses</w:t>
      </w:r>
    </w:p>
    <w:p w14:paraId="0197C7F8" w14:textId="77777777" w:rsidR="004D5F66" w:rsidRPr="00897949" w:rsidRDefault="004D5F66" w:rsidP="004D5F66">
      <w:pPr>
        <w:jc w:val="center"/>
        <w:rPr>
          <w:rFonts w:ascii="Times New Roman" w:hAnsi="Times New Roman" w:cs="Times New Roman"/>
          <w:b/>
          <w:bCs/>
        </w:rPr>
      </w:pPr>
    </w:p>
    <w:p w14:paraId="0D6BDA2F" w14:textId="77777777" w:rsidR="004D5F66" w:rsidRPr="00897949" w:rsidRDefault="004D5F66" w:rsidP="004D5F66">
      <w:pPr>
        <w:rPr>
          <w:rFonts w:ascii="Times New Roman" w:hAnsi="Times New Roman" w:cs="Times New Roman"/>
        </w:rPr>
      </w:pPr>
    </w:p>
    <w:p w14:paraId="7D9DF7E4" w14:textId="4A7435C2" w:rsidR="004D5F66" w:rsidRPr="00897949" w:rsidRDefault="004D5F66" w:rsidP="004D5F66">
      <w:pPr>
        <w:rPr>
          <w:rFonts w:ascii="Times New Roman" w:hAnsi="Times New Roman" w:cs="Times New Roman"/>
        </w:rPr>
      </w:pPr>
      <w:r w:rsidRPr="00897949">
        <w:rPr>
          <w:rFonts w:ascii="Times New Roman" w:hAnsi="Times New Roman" w:cs="Times New Roman"/>
        </w:rPr>
        <w:t>Several additional moderators were investigated but were not included in the main text of the manuscript. These moderators included: (1) study quality, (2) creation</w:t>
      </w:r>
      <w:r w:rsidR="00755D75">
        <w:rPr>
          <w:rFonts w:ascii="Times New Roman" w:hAnsi="Times New Roman" w:cs="Times New Roman"/>
        </w:rPr>
        <w:t xml:space="preserve"> of the reading anxiety measure,</w:t>
      </w:r>
      <w:r w:rsidRPr="00897949">
        <w:rPr>
          <w:rFonts w:ascii="Times New Roman" w:hAnsi="Times New Roman" w:cs="Times New Roman"/>
        </w:rPr>
        <w:t xml:space="preserve"> (3) reliability, and (4) number of items for the reading anxiety measure, (5) who read the reading anxiety questions, and (6) year of publication. None of these moderators were significant. </w:t>
      </w:r>
    </w:p>
    <w:p w14:paraId="303BD639" w14:textId="77777777" w:rsidR="004D5F66" w:rsidRPr="00897949" w:rsidRDefault="004D5F66" w:rsidP="004D5F66">
      <w:pPr>
        <w:rPr>
          <w:rFonts w:ascii="Times New Roman" w:hAnsi="Times New Roman" w:cs="Times New Roman"/>
          <w:i/>
          <w:iCs/>
        </w:rPr>
      </w:pPr>
    </w:p>
    <w:p w14:paraId="02960DDF" w14:textId="77777777" w:rsidR="004D5F66" w:rsidRPr="00897949" w:rsidRDefault="004D5F66" w:rsidP="004D5F66">
      <w:pPr>
        <w:rPr>
          <w:rFonts w:ascii="Times New Roman" w:hAnsi="Times New Roman" w:cs="Times New Roman"/>
          <w:i/>
          <w:iCs/>
        </w:rPr>
      </w:pPr>
      <w:r w:rsidRPr="00897949">
        <w:rPr>
          <w:rFonts w:ascii="Times New Roman" w:hAnsi="Times New Roman" w:cs="Times New Roman"/>
          <w:i/>
          <w:iCs/>
        </w:rPr>
        <w:t>Supplemental Table 1.</w:t>
      </w:r>
      <w:r w:rsidRPr="00897949">
        <w:rPr>
          <w:rFonts w:ascii="Times New Roman" w:hAnsi="Times New Roman" w:cs="Times New Roman"/>
        </w:rPr>
        <w:t xml:space="preserve"> Additional moderator effects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990"/>
        <w:gridCol w:w="1440"/>
        <w:gridCol w:w="1061"/>
        <w:gridCol w:w="1459"/>
      </w:tblGrid>
      <w:tr w:rsidR="004D5F66" w:rsidRPr="00897949" w14:paraId="1CE60E66" w14:textId="77777777" w:rsidTr="007E3DE0">
        <w:trPr>
          <w:trHeight w:val="55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ECA39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0DEF9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6E760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71D73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19ADF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 xml:space="preserve">SE 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F2B8A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p-value</w:t>
            </w:r>
          </w:p>
        </w:tc>
      </w:tr>
      <w:tr w:rsidR="004D5F66" w:rsidRPr="00897949" w14:paraId="7042A80D" w14:textId="77777777" w:rsidTr="007E3DE0">
        <w:trPr>
          <w:trHeight w:val="552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40C31A8C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Year of publication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7DE4F3E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692C3F5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7745DF5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14:paraId="16452C37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76BDF3E6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0.080</w:t>
            </w:r>
          </w:p>
        </w:tc>
      </w:tr>
      <w:tr w:rsidR="004D5F66" w:rsidRPr="00897949" w14:paraId="0C204888" w14:textId="77777777" w:rsidTr="007E3DE0">
        <w:trPr>
          <w:trHeight w:val="552"/>
        </w:trPr>
        <w:tc>
          <w:tcPr>
            <w:tcW w:w="3510" w:type="dxa"/>
            <w:shd w:val="clear" w:color="auto" w:fill="auto"/>
          </w:tcPr>
          <w:p w14:paraId="4835F155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 xml:space="preserve">Study quality </w:t>
            </w:r>
          </w:p>
        </w:tc>
        <w:tc>
          <w:tcPr>
            <w:tcW w:w="900" w:type="dxa"/>
            <w:shd w:val="clear" w:color="auto" w:fill="auto"/>
          </w:tcPr>
          <w:p w14:paraId="58783866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0" w:type="dxa"/>
            <w:shd w:val="clear" w:color="auto" w:fill="auto"/>
          </w:tcPr>
          <w:p w14:paraId="171877D3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440" w:type="dxa"/>
            <w:shd w:val="clear" w:color="auto" w:fill="auto"/>
          </w:tcPr>
          <w:p w14:paraId="20B99A2B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61" w:type="dxa"/>
            <w:shd w:val="clear" w:color="auto" w:fill="auto"/>
          </w:tcPr>
          <w:p w14:paraId="0B5C2629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459" w:type="dxa"/>
            <w:shd w:val="clear" w:color="auto" w:fill="auto"/>
          </w:tcPr>
          <w:p w14:paraId="6930B1C2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.242</w:t>
            </w:r>
          </w:p>
        </w:tc>
      </w:tr>
      <w:tr w:rsidR="004D5F66" w:rsidRPr="00897949" w14:paraId="747F4FA4" w14:textId="77777777" w:rsidTr="007E3DE0">
        <w:trPr>
          <w:trHeight w:val="552"/>
        </w:trPr>
        <w:tc>
          <w:tcPr>
            <w:tcW w:w="3510" w:type="dxa"/>
            <w:shd w:val="clear" w:color="auto" w:fill="auto"/>
          </w:tcPr>
          <w:p w14:paraId="4D8B2FD8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Reliability of RA measure</w:t>
            </w:r>
          </w:p>
        </w:tc>
        <w:tc>
          <w:tcPr>
            <w:tcW w:w="900" w:type="dxa"/>
            <w:shd w:val="clear" w:color="auto" w:fill="auto"/>
          </w:tcPr>
          <w:p w14:paraId="6FB75246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0" w:type="dxa"/>
            <w:shd w:val="clear" w:color="auto" w:fill="auto"/>
          </w:tcPr>
          <w:p w14:paraId="66DC3B57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1440" w:type="dxa"/>
            <w:shd w:val="clear" w:color="auto" w:fill="auto"/>
          </w:tcPr>
          <w:p w14:paraId="29DD78CF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1061" w:type="dxa"/>
            <w:shd w:val="clear" w:color="auto" w:fill="auto"/>
          </w:tcPr>
          <w:p w14:paraId="30706EDF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459" w:type="dxa"/>
            <w:shd w:val="clear" w:color="auto" w:fill="auto"/>
          </w:tcPr>
          <w:p w14:paraId="645A3A66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.134</w:t>
            </w:r>
          </w:p>
        </w:tc>
      </w:tr>
      <w:tr w:rsidR="004D5F66" w:rsidRPr="00897949" w14:paraId="2CBB018A" w14:textId="77777777" w:rsidTr="007E3DE0">
        <w:trPr>
          <w:trHeight w:val="552"/>
        </w:trPr>
        <w:tc>
          <w:tcPr>
            <w:tcW w:w="3510" w:type="dxa"/>
            <w:shd w:val="clear" w:color="auto" w:fill="auto"/>
            <w:vAlign w:val="center"/>
          </w:tcPr>
          <w:p w14:paraId="531F38B1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Who read the RA questions</w:t>
            </w:r>
          </w:p>
        </w:tc>
        <w:tc>
          <w:tcPr>
            <w:tcW w:w="900" w:type="dxa"/>
            <w:shd w:val="clear" w:color="auto" w:fill="auto"/>
          </w:tcPr>
          <w:p w14:paraId="6FCED0B7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0" w:type="dxa"/>
            <w:shd w:val="clear" w:color="auto" w:fill="auto"/>
          </w:tcPr>
          <w:p w14:paraId="6C29E454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440" w:type="dxa"/>
            <w:shd w:val="clear" w:color="auto" w:fill="auto"/>
          </w:tcPr>
          <w:p w14:paraId="1E296148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61" w:type="dxa"/>
            <w:shd w:val="clear" w:color="auto" w:fill="auto"/>
          </w:tcPr>
          <w:p w14:paraId="3485B6E3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459" w:type="dxa"/>
            <w:shd w:val="clear" w:color="auto" w:fill="auto"/>
          </w:tcPr>
          <w:p w14:paraId="08C5F0FE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.435</w:t>
            </w:r>
          </w:p>
        </w:tc>
      </w:tr>
      <w:tr w:rsidR="004D5F66" w:rsidRPr="00897949" w14:paraId="49C2B602" w14:textId="77777777" w:rsidTr="007E3DE0">
        <w:trPr>
          <w:trHeight w:val="552"/>
        </w:trPr>
        <w:tc>
          <w:tcPr>
            <w:tcW w:w="3510" w:type="dxa"/>
            <w:shd w:val="clear" w:color="auto" w:fill="auto"/>
          </w:tcPr>
          <w:p w14:paraId="1D36C6A1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 xml:space="preserve">Number of items in RA measure </w:t>
            </w:r>
          </w:p>
        </w:tc>
        <w:tc>
          <w:tcPr>
            <w:tcW w:w="900" w:type="dxa"/>
            <w:shd w:val="clear" w:color="auto" w:fill="auto"/>
          </w:tcPr>
          <w:p w14:paraId="596ECA81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0" w:type="dxa"/>
            <w:shd w:val="clear" w:color="auto" w:fill="auto"/>
          </w:tcPr>
          <w:p w14:paraId="0A5BA3AA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1440" w:type="dxa"/>
            <w:shd w:val="clear" w:color="auto" w:fill="auto"/>
          </w:tcPr>
          <w:p w14:paraId="78A25A57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061" w:type="dxa"/>
            <w:shd w:val="clear" w:color="auto" w:fill="auto"/>
          </w:tcPr>
          <w:p w14:paraId="0770B48B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459" w:type="dxa"/>
            <w:shd w:val="clear" w:color="auto" w:fill="auto"/>
          </w:tcPr>
          <w:p w14:paraId="09CAF26B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.418</w:t>
            </w:r>
          </w:p>
        </w:tc>
      </w:tr>
      <w:tr w:rsidR="004D5F66" w:rsidRPr="00897949" w14:paraId="2D8976A3" w14:textId="77777777" w:rsidTr="007E3DE0">
        <w:trPr>
          <w:trHeight w:val="552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4DCD3AF9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Creation of RA measure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55C50E6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1987DB7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21BC07A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5DB3F0D8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5B2B7738" w14:textId="77777777" w:rsidR="004D5F66" w:rsidRPr="00897949" w:rsidRDefault="004D5F66" w:rsidP="007E3DE0">
            <w:pPr>
              <w:rPr>
                <w:rFonts w:ascii="Times New Roman" w:hAnsi="Times New Roman" w:cs="Times New Roman"/>
              </w:rPr>
            </w:pPr>
            <w:r w:rsidRPr="00897949">
              <w:rPr>
                <w:rFonts w:ascii="Times New Roman" w:hAnsi="Times New Roman" w:cs="Times New Roman"/>
              </w:rPr>
              <w:t>.465</w:t>
            </w:r>
          </w:p>
        </w:tc>
      </w:tr>
    </w:tbl>
    <w:p w14:paraId="0D991626" w14:textId="77777777" w:rsidR="004D5F66" w:rsidRPr="00897949" w:rsidRDefault="004D5F66" w:rsidP="004D5F66">
      <w:pPr>
        <w:rPr>
          <w:rFonts w:ascii="Times New Roman" w:hAnsi="Times New Roman" w:cs="Times New Roman"/>
        </w:rPr>
      </w:pPr>
      <w:r w:rsidRPr="00897949">
        <w:rPr>
          <w:rFonts w:ascii="Times New Roman" w:hAnsi="Times New Roman" w:cs="Times New Roman"/>
        </w:rPr>
        <w:t xml:space="preserve">Note: the estimates reported are those after correcting for dependent effect sizes. RA = reading anxiety. </w:t>
      </w:r>
    </w:p>
    <w:p w14:paraId="44F3557E" w14:textId="77777777" w:rsidR="004D5F66" w:rsidRPr="00897949" w:rsidRDefault="004D5F66" w:rsidP="004D5F66">
      <w:pPr>
        <w:rPr>
          <w:rFonts w:ascii="Times New Roman" w:hAnsi="Times New Roman" w:cs="Times New Roman"/>
        </w:rPr>
      </w:pPr>
    </w:p>
    <w:p w14:paraId="4623AAA0" w14:textId="77777777" w:rsidR="004D5F66" w:rsidRPr="00897949" w:rsidRDefault="004D5F66" w:rsidP="004D5F66">
      <w:pPr>
        <w:rPr>
          <w:rFonts w:ascii="Times New Roman" w:hAnsi="Times New Roman" w:cs="Times New Roman"/>
          <w:i/>
          <w:iCs/>
        </w:rPr>
      </w:pPr>
      <w:r w:rsidRPr="00897949">
        <w:rPr>
          <w:rFonts w:ascii="Times New Roman" w:hAnsi="Times New Roman" w:cs="Times New Roman"/>
          <w:i/>
          <w:iCs/>
        </w:rPr>
        <w:br w:type="page"/>
      </w:r>
    </w:p>
    <w:p w14:paraId="61558C85" w14:textId="77777777" w:rsidR="004D5F66" w:rsidRPr="00897949" w:rsidRDefault="004D5F66" w:rsidP="004D5F66">
      <w:pPr>
        <w:rPr>
          <w:rFonts w:ascii="Times New Roman" w:hAnsi="Times New Roman" w:cs="Times New Roman"/>
        </w:rPr>
      </w:pPr>
      <w:r w:rsidRPr="00897949">
        <w:rPr>
          <w:rFonts w:ascii="Times New Roman" w:hAnsi="Times New Roman" w:cs="Times New Roman"/>
          <w:i/>
          <w:iCs/>
        </w:rPr>
        <w:lastRenderedPageBreak/>
        <w:t>Supplemental Figure 1</w:t>
      </w:r>
      <w:r w:rsidRPr="00897949">
        <w:rPr>
          <w:rFonts w:ascii="Times New Roman" w:hAnsi="Times New Roman" w:cs="Times New Roman"/>
        </w:rPr>
        <w:t>. Histogram of number of papers on reading anxiety by year</w:t>
      </w:r>
    </w:p>
    <w:p w14:paraId="29FCC6B3" w14:textId="77777777" w:rsidR="004D5F66" w:rsidRPr="00897949" w:rsidRDefault="004D5F66" w:rsidP="004D5F66">
      <w:pPr>
        <w:rPr>
          <w:rFonts w:ascii="Times New Roman" w:hAnsi="Times New Roman" w:cs="Times New Roman"/>
        </w:rPr>
      </w:pPr>
      <w:r w:rsidRPr="00897949">
        <w:rPr>
          <w:rFonts w:ascii="Times New Roman" w:hAnsi="Times New Roman" w:cs="Times New Roman"/>
          <w:noProof/>
        </w:rPr>
        <w:drawing>
          <wp:inline distT="0" distB="0" distL="0" distR="0" wp14:anchorId="56464076" wp14:editId="2B9C699D">
            <wp:extent cx="5943600" cy="3437644"/>
            <wp:effectExtent l="0" t="0" r="0" b="4445"/>
            <wp:docPr id="125636058" name="Picture 3" descr="A graph with blac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6058" name="Picture 3" descr="A graph with black triangle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1"/>
                    <a:stretch/>
                  </pic:blipFill>
                  <pic:spPr bwMode="auto">
                    <a:xfrm>
                      <a:off x="0" y="0"/>
                      <a:ext cx="5943600" cy="343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F8895" w14:textId="77777777" w:rsidR="004D5F66" w:rsidRPr="00897949" w:rsidRDefault="004D5F66" w:rsidP="004D5F66">
      <w:pPr>
        <w:rPr>
          <w:rFonts w:ascii="Times New Roman" w:hAnsi="Times New Roman" w:cs="Times New Roman"/>
        </w:rPr>
      </w:pPr>
      <w:r w:rsidRPr="00897949">
        <w:rPr>
          <w:rFonts w:ascii="Times New Roman" w:hAnsi="Times New Roman" w:cs="Times New Roman"/>
        </w:rPr>
        <w:t xml:space="preserve">Note: this is based on studies included in the current meta-analysis. </w:t>
      </w:r>
    </w:p>
    <w:p w14:paraId="2907A7E1" w14:textId="77777777" w:rsidR="004D5F66" w:rsidRPr="00897949" w:rsidRDefault="004D5F66" w:rsidP="004D5F66">
      <w:pPr>
        <w:rPr>
          <w:rFonts w:ascii="Times New Roman" w:hAnsi="Times New Roman" w:cs="Times New Roman"/>
        </w:rPr>
      </w:pPr>
    </w:p>
    <w:p w14:paraId="25C01DDC" w14:textId="77777777" w:rsidR="004D5F66" w:rsidRPr="00897949" w:rsidRDefault="004D5F66" w:rsidP="004D5F66">
      <w:pPr>
        <w:rPr>
          <w:rFonts w:ascii="Times New Roman" w:hAnsi="Times New Roman" w:cs="Times New Roman"/>
        </w:rPr>
      </w:pPr>
    </w:p>
    <w:p w14:paraId="7120AEBC" w14:textId="77777777" w:rsidR="004D5F66" w:rsidRDefault="004D5F66"/>
    <w:p w14:paraId="4F80D04B" w14:textId="77777777" w:rsidR="001652AA" w:rsidRDefault="001652AA"/>
    <w:p w14:paraId="3F93FEA2" w14:textId="77777777" w:rsidR="001652AA" w:rsidRDefault="001652AA"/>
    <w:sectPr w:rsidR="001652AA" w:rsidSect="004D5F6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4FF4" w14:textId="77777777" w:rsidR="004D5F66" w:rsidRDefault="004D5F66" w:rsidP="004D5F66">
      <w:r>
        <w:separator/>
      </w:r>
    </w:p>
  </w:endnote>
  <w:endnote w:type="continuationSeparator" w:id="0">
    <w:p w14:paraId="01E08B7C" w14:textId="77777777" w:rsidR="004D5F66" w:rsidRDefault="004D5F66" w:rsidP="004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E06" w14:textId="77777777" w:rsidR="00482EB5" w:rsidRPr="007262B4" w:rsidRDefault="00482EB5" w:rsidP="00DF0F2E">
    <w:pPr>
      <w:pStyle w:val="Footer"/>
      <w:jc w:val="right"/>
      <w:rPr>
        <w:rFonts w:ascii="Times New Roman" w:hAnsi="Times New Roman" w:cs="Times New Roman"/>
      </w:rPr>
    </w:pPr>
  </w:p>
  <w:p w14:paraId="4DA01305" w14:textId="77777777" w:rsidR="00482EB5" w:rsidRPr="007262B4" w:rsidRDefault="00482EB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EE82" w14:textId="77777777" w:rsidR="004D5F66" w:rsidRDefault="004D5F66" w:rsidP="004D5F66">
      <w:r>
        <w:separator/>
      </w:r>
    </w:p>
  </w:footnote>
  <w:footnote w:type="continuationSeparator" w:id="0">
    <w:p w14:paraId="32FD87E9" w14:textId="77777777" w:rsidR="004D5F66" w:rsidRDefault="004D5F66" w:rsidP="004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975B" w14:textId="77777777" w:rsidR="00482EB5" w:rsidRDefault="00482EB5" w:rsidP="00DF0F2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8C623C" w14:textId="77777777" w:rsidR="00482EB5" w:rsidRDefault="00482EB5" w:rsidP="00DF0F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4509129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679735F" w14:textId="77777777" w:rsidR="00482EB5" w:rsidRPr="00D8371D" w:rsidRDefault="00482EB5" w:rsidP="00DF0F2E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8371D">
          <w:rPr>
            <w:rStyle w:val="PageNumber"/>
            <w:rFonts w:ascii="Times New Roman" w:hAnsi="Times New Roman" w:cs="Times New Roman"/>
          </w:rPr>
          <w:fldChar w:fldCharType="begin"/>
        </w:r>
        <w:r w:rsidRPr="00D8371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8371D">
          <w:rPr>
            <w:rStyle w:val="PageNumber"/>
            <w:rFonts w:ascii="Times New Roman" w:hAnsi="Times New Roman" w:cs="Times New Roman"/>
          </w:rPr>
          <w:fldChar w:fldCharType="separate"/>
        </w:r>
        <w:r w:rsidRPr="00D8371D">
          <w:rPr>
            <w:rStyle w:val="PageNumber"/>
            <w:rFonts w:ascii="Times New Roman" w:hAnsi="Times New Roman" w:cs="Times New Roman"/>
            <w:noProof/>
          </w:rPr>
          <w:t>1</w:t>
        </w:r>
        <w:r w:rsidRPr="00D8371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C4BDF14" w14:textId="77777777" w:rsidR="00482EB5" w:rsidRPr="00105BA6" w:rsidRDefault="00482EB5" w:rsidP="008A338B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READING ANXIETY META-ANALYSIS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FC2C" w14:textId="77777777" w:rsidR="00482EB5" w:rsidRPr="00D8371D" w:rsidRDefault="00482EB5" w:rsidP="00DF0F2E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D8371D">
      <w:rPr>
        <w:rStyle w:val="PageNumber"/>
        <w:rFonts w:ascii="Times New Roman" w:hAnsi="Times New Roman" w:cs="Times New Roman"/>
      </w:rPr>
      <w:fldChar w:fldCharType="begin"/>
    </w:r>
    <w:r w:rsidRPr="00D8371D">
      <w:rPr>
        <w:rStyle w:val="PageNumber"/>
        <w:rFonts w:ascii="Times New Roman" w:hAnsi="Times New Roman" w:cs="Times New Roman"/>
      </w:rPr>
      <w:instrText xml:space="preserve"> PAGE </w:instrText>
    </w:r>
    <w:r w:rsidRPr="00D8371D">
      <w:rPr>
        <w:rStyle w:val="PageNumber"/>
        <w:rFonts w:ascii="Times New Roman" w:hAnsi="Times New Roman" w:cs="Times New Roman"/>
      </w:rPr>
      <w:fldChar w:fldCharType="separate"/>
    </w:r>
    <w:r w:rsidRPr="00D8371D">
      <w:rPr>
        <w:rStyle w:val="PageNumber"/>
        <w:rFonts w:ascii="Times New Roman" w:hAnsi="Times New Roman" w:cs="Times New Roman"/>
        <w:noProof/>
      </w:rPr>
      <w:t>1</w:t>
    </w:r>
    <w:r w:rsidRPr="00D8371D">
      <w:rPr>
        <w:rStyle w:val="PageNumber"/>
        <w:rFonts w:ascii="Times New Roman" w:hAnsi="Times New Roman" w:cs="Times New Roman"/>
      </w:rPr>
      <w:fldChar w:fldCharType="end"/>
    </w:r>
  </w:p>
  <w:p w14:paraId="49B40996" w14:textId="77777777" w:rsidR="00482EB5" w:rsidRDefault="00482EB5" w:rsidP="00DF0F2E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READING ANXIETY META-ANLYSIS</w:t>
    </w:r>
  </w:p>
  <w:p w14:paraId="60F09C00" w14:textId="3A3C3447" w:rsidR="004D5F66" w:rsidRPr="00D8371D" w:rsidRDefault="004D5F66" w:rsidP="00DF0F2E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Supplemental Analyses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66"/>
    <w:rsid w:val="001652AA"/>
    <w:rsid w:val="00482EB5"/>
    <w:rsid w:val="004D5F66"/>
    <w:rsid w:val="0066385E"/>
    <w:rsid w:val="00755D75"/>
    <w:rsid w:val="00E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A14AF"/>
  <w15:chartTrackingRefBased/>
  <w15:docId w15:val="{5B69DF9A-F789-234D-A80D-CB69BB0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F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F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F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F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F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F6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F6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F6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F6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F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F6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5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F6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5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F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5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66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D5F66"/>
  </w:style>
  <w:style w:type="table" w:styleId="TableGrid">
    <w:name w:val="Table Grid"/>
    <w:basedOn w:val="TableNormal"/>
    <w:uiPriority w:val="39"/>
    <w:rsid w:val="004D5F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5F6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Johnson</dc:creator>
  <cp:keywords/>
  <dc:description/>
  <cp:lastModifiedBy>Rachelle Johnson</cp:lastModifiedBy>
  <cp:revision>3</cp:revision>
  <dcterms:created xsi:type="dcterms:W3CDTF">2024-05-20T20:49:00Z</dcterms:created>
  <dcterms:modified xsi:type="dcterms:W3CDTF">2024-07-02T18:39:00Z</dcterms:modified>
</cp:coreProperties>
</file>